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07" w:rsidRDefault="004C6907" w:rsidP="004C6907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SADRŽAJ TESTIRANJA TE  PRAVNI I DRUGI IZVORI ZA PRIPREMANJE</w:t>
      </w:r>
    </w:p>
    <w:p w:rsidR="004C6907" w:rsidRDefault="004C6907" w:rsidP="004C6907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KANDIDATA ZA TESTIRANJE TE NAČIN TESTIRANJA</w:t>
      </w:r>
    </w:p>
    <w:p w:rsidR="004C6907" w:rsidRDefault="004C6907" w:rsidP="004C6907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4C6907" w:rsidRDefault="004C6907" w:rsidP="004C6907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Javni natječaj objavljen Narodnim novinama, broj </w:t>
      </w:r>
      <w:r>
        <w:rPr>
          <w:rFonts w:asciiTheme="minorHAnsi" w:hAnsiTheme="minorHAnsi"/>
          <w:b/>
          <w:i/>
          <w:sz w:val="22"/>
          <w:szCs w:val="22"/>
        </w:rPr>
        <w:t>51</w:t>
      </w:r>
      <w:r>
        <w:rPr>
          <w:rFonts w:asciiTheme="minorHAnsi" w:hAnsiTheme="minorHAnsi"/>
          <w:b/>
          <w:i/>
          <w:sz w:val="22"/>
          <w:szCs w:val="22"/>
        </w:rPr>
        <w:t xml:space="preserve"> od 3</w:t>
      </w:r>
      <w:r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 xml:space="preserve">. </w:t>
      </w:r>
      <w:r>
        <w:rPr>
          <w:rFonts w:asciiTheme="minorHAnsi" w:hAnsiTheme="minorHAnsi"/>
          <w:b/>
          <w:i/>
          <w:sz w:val="22"/>
          <w:szCs w:val="22"/>
        </w:rPr>
        <w:t>svibnja</w:t>
      </w:r>
      <w:r>
        <w:rPr>
          <w:rFonts w:asciiTheme="minorHAnsi" w:hAnsiTheme="minorHAnsi"/>
          <w:b/>
          <w:i/>
          <w:sz w:val="22"/>
          <w:szCs w:val="22"/>
        </w:rPr>
        <w:t xml:space="preserve"> 201</w:t>
      </w:r>
      <w:r>
        <w:rPr>
          <w:rFonts w:asciiTheme="minorHAnsi" w:hAnsiTheme="minorHAnsi"/>
          <w:b/>
          <w:i/>
          <w:sz w:val="22"/>
          <w:szCs w:val="22"/>
        </w:rPr>
        <w:t>7</w:t>
      </w:r>
      <w:r>
        <w:rPr>
          <w:rFonts w:asciiTheme="minorHAnsi" w:hAnsiTheme="minorHAnsi"/>
          <w:i/>
          <w:sz w:val="22"/>
          <w:szCs w:val="22"/>
        </w:rPr>
        <w:t xml:space="preserve">. </w:t>
      </w:r>
      <w:r>
        <w:rPr>
          <w:rFonts w:asciiTheme="minorHAnsi" w:hAnsiTheme="minorHAnsi"/>
          <w:b/>
          <w:i/>
          <w:sz w:val="22"/>
          <w:szCs w:val="22"/>
        </w:rPr>
        <w:t>godine</w:t>
      </w:r>
    </w:p>
    <w:p w:rsidR="004C6907" w:rsidRDefault="004C6907" w:rsidP="004C6907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4C6907" w:rsidRDefault="004C6907" w:rsidP="004C6907">
      <w:pPr>
        <w:rPr>
          <w:rFonts w:asciiTheme="minorHAnsi" w:hAnsiTheme="minorHAnsi"/>
          <w:b/>
          <w:i/>
          <w:sz w:val="22"/>
          <w:szCs w:val="22"/>
        </w:rPr>
      </w:pPr>
    </w:p>
    <w:p w:rsidR="004C6907" w:rsidRDefault="004C6907" w:rsidP="004C6907">
      <w:pPr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4C6907" w:rsidRPr="001D6692" w:rsidRDefault="004C6907" w:rsidP="004C6907">
      <w:pPr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1D6692">
        <w:rPr>
          <w:rFonts w:asciiTheme="minorHAnsi" w:hAnsiTheme="minorHAnsi"/>
          <w:b/>
          <w:i/>
          <w:color w:val="FF0000"/>
          <w:sz w:val="22"/>
          <w:szCs w:val="22"/>
        </w:rPr>
        <w:t xml:space="preserve">1. Poznavanje osnova ustavnog ustrojstva Republike Hrvatske – pisana provjera znanja  za sva radna mjesta </w:t>
      </w:r>
    </w:p>
    <w:p w:rsidR="004C6907" w:rsidRPr="001D6692" w:rsidRDefault="004C6907" w:rsidP="004C690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1D6692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4C6907" w:rsidRPr="001D6692" w:rsidRDefault="004C6907" w:rsidP="004C6907">
      <w:pPr>
        <w:jc w:val="both"/>
        <w:rPr>
          <w:rFonts w:asciiTheme="minorHAnsi" w:hAnsiTheme="minorHAnsi"/>
          <w:i/>
          <w:sz w:val="22"/>
          <w:szCs w:val="22"/>
        </w:rPr>
      </w:pPr>
      <w:r w:rsidRPr="001D6692">
        <w:rPr>
          <w:rFonts w:asciiTheme="minorHAnsi" w:hAnsiTheme="minorHAnsi"/>
          <w:i/>
          <w:sz w:val="22"/>
          <w:szCs w:val="22"/>
        </w:rPr>
        <w:t xml:space="preserve">Pitanja kojima se testira poznavanje osnova ustavnog ustrojstva Republike Hrvatske (članak 11. stavak 2. Uredbe o raspisivanju i provedbi javnog natječaja i internog oglasa u državnoj službi („Narodne novine“, broj 74/10, 142/11 i 53/12) temelje se na: </w:t>
      </w:r>
    </w:p>
    <w:p w:rsidR="004C6907" w:rsidRPr="001D6692" w:rsidRDefault="004C6907" w:rsidP="004C690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1D6692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4C6907" w:rsidRPr="001D6692" w:rsidRDefault="004C6907" w:rsidP="004C690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1D6692">
        <w:rPr>
          <w:rFonts w:asciiTheme="minorHAnsi" w:hAnsiTheme="minorHAnsi"/>
          <w:b/>
        </w:rPr>
        <w:t xml:space="preserve">Ustavu Republike Hrvatske (Narodne novine, broj 85/10 – pročišćeni tekst) </w:t>
      </w:r>
    </w:p>
    <w:p w:rsidR="004C6907" w:rsidRPr="001D6692" w:rsidRDefault="004C6907" w:rsidP="004C6907">
      <w:pPr>
        <w:jc w:val="center"/>
        <w:rPr>
          <w:rFonts w:asciiTheme="minorHAnsi" w:hAnsiTheme="minorHAnsi"/>
          <w:i/>
          <w:sz w:val="22"/>
          <w:szCs w:val="22"/>
        </w:rPr>
      </w:pPr>
      <w:r w:rsidRPr="001D6692">
        <w:rPr>
          <w:rFonts w:asciiTheme="minorHAnsi" w:hAnsiTheme="minorHAnsi"/>
          <w:i/>
          <w:sz w:val="22"/>
          <w:szCs w:val="22"/>
        </w:rPr>
        <w:t xml:space="preserve"> </w:t>
      </w:r>
    </w:p>
    <w:p w:rsidR="004C6907" w:rsidRPr="001D6692" w:rsidRDefault="004C6907" w:rsidP="004C6907">
      <w:pPr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1D6692">
        <w:rPr>
          <w:rFonts w:asciiTheme="minorHAnsi" w:hAnsiTheme="minorHAnsi"/>
          <w:b/>
          <w:i/>
          <w:color w:val="FF0000"/>
          <w:sz w:val="22"/>
          <w:szCs w:val="22"/>
        </w:rPr>
        <w:t xml:space="preserve">2. Provjera znanja, sposobnosti i vještina bitnih za obavljanje poslova radnog mjesta – </w:t>
      </w:r>
    </w:p>
    <w:p w:rsidR="004C6907" w:rsidRPr="001D6692" w:rsidRDefault="004C6907" w:rsidP="004C6907">
      <w:pPr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1D6692">
        <w:rPr>
          <w:rFonts w:asciiTheme="minorHAnsi" w:hAnsiTheme="minorHAnsi"/>
          <w:b/>
          <w:i/>
          <w:color w:val="FF0000"/>
          <w:sz w:val="22"/>
          <w:szCs w:val="22"/>
        </w:rPr>
        <w:t xml:space="preserve"> pisana provjera znanja </w:t>
      </w:r>
    </w:p>
    <w:p w:rsidR="004C6907" w:rsidRPr="001D6692" w:rsidRDefault="004C6907" w:rsidP="004C690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1D6692">
        <w:rPr>
          <w:rFonts w:asciiTheme="minorHAnsi" w:hAnsiTheme="minorHAnsi"/>
          <w:b/>
          <w:i/>
          <w:sz w:val="22"/>
          <w:szCs w:val="22"/>
        </w:rPr>
        <w:t xml:space="preserve"> </w:t>
      </w:r>
      <w:bookmarkStart w:id="0" w:name="_GoBack"/>
      <w:bookmarkEnd w:id="0"/>
    </w:p>
    <w:p w:rsidR="004C6907" w:rsidRPr="001D6692" w:rsidRDefault="004C6907" w:rsidP="004C6907">
      <w:pPr>
        <w:jc w:val="both"/>
        <w:rPr>
          <w:rFonts w:asciiTheme="minorHAnsi" w:hAnsiTheme="minorHAnsi"/>
          <w:i/>
          <w:sz w:val="22"/>
          <w:szCs w:val="22"/>
        </w:rPr>
      </w:pPr>
      <w:r w:rsidRPr="001D6692">
        <w:rPr>
          <w:rFonts w:asciiTheme="minorHAnsi" w:hAnsiTheme="minorHAnsi"/>
          <w:i/>
          <w:sz w:val="22"/>
          <w:szCs w:val="22"/>
        </w:rPr>
        <w:t xml:space="preserve">Pitanja kojima se testira provjera znanja, sposobnosti i vještina bitnih za obavljanje poslova radnog mjesta (članak 11. stavak 2. Uredbe o raspisivanju i provedbi javnog natječaja i internog oglasa u državnoj službi, Narodne novine, broj 74/10, 142/11 i 53/12 ) temelje se na sljedećim izvorima: </w:t>
      </w:r>
    </w:p>
    <w:p w:rsidR="004C6907" w:rsidRPr="001D6692" w:rsidRDefault="004C6907" w:rsidP="004C6907">
      <w:pPr>
        <w:jc w:val="both"/>
        <w:rPr>
          <w:rFonts w:asciiTheme="minorHAnsi" w:hAnsiTheme="minorHAnsi"/>
          <w:i/>
          <w:sz w:val="22"/>
          <w:szCs w:val="22"/>
        </w:rPr>
      </w:pPr>
    </w:p>
    <w:p w:rsidR="004C6907" w:rsidRPr="001D6692" w:rsidRDefault="004C6907" w:rsidP="004C690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rPr>
          <w:rFonts w:asciiTheme="minorHAnsi" w:hAnsiTheme="minorHAnsi"/>
          <w:b/>
          <w:sz w:val="22"/>
          <w:szCs w:val="22"/>
        </w:rPr>
      </w:pPr>
      <w:r w:rsidRPr="001D6692">
        <w:rPr>
          <w:rFonts w:asciiTheme="minorHAnsi" w:hAnsiTheme="minorHAnsi"/>
          <w:b/>
          <w:sz w:val="22"/>
          <w:szCs w:val="22"/>
        </w:rPr>
        <w:t xml:space="preserve">I. UPRAVA POMORSKE I UNUTARNJE PLOVIDBE BRODARSTVA, LUKA I  </w:t>
      </w:r>
    </w:p>
    <w:p w:rsidR="004C6907" w:rsidRPr="001D6692" w:rsidRDefault="004C6907" w:rsidP="004C6907">
      <w:pPr>
        <w:ind w:left="-1080"/>
        <w:rPr>
          <w:rFonts w:asciiTheme="minorHAnsi" w:hAnsiTheme="minorHAnsi"/>
          <w:b/>
          <w:sz w:val="22"/>
          <w:szCs w:val="22"/>
        </w:rPr>
      </w:pPr>
      <w:r w:rsidRPr="001D6692">
        <w:rPr>
          <w:rFonts w:asciiTheme="minorHAnsi" w:hAnsiTheme="minorHAnsi"/>
          <w:b/>
          <w:sz w:val="22"/>
          <w:szCs w:val="22"/>
        </w:rPr>
        <w:t xml:space="preserve">            </w:t>
      </w:r>
      <w:r w:rsidRPr="001D6692">
        <w:rPr>
          <w:rFonts w:asciiTheme="minorHAnsi" w:hAnsiTheme="minorHAnsi"/>
          <w:b/>
          <w:sz w:val="22"/>
          <w:szCs w:val="22"/>
        </w:rPr>
        <w:tab/>
        <w:t>POMORSKOG DOBRA</w:t>
      </w:r>
    </w:p>
    <w:p w:rsidR="004C6907" w:rsidRPr="001D6692" w:rsidRDefault="004C6907" w:rsidP="004C6907">
      <w:pPr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rPr>
          <w:rFonts w:asciiTheme="minorHAnsi" w:hAnsiTheme="minorHAnsi"/>
          <w:sz w:val="22"/>
          <w:szCs w:val="22"/>
        </w:rPr>
      </w:pPr>
      <w:r w:rsidRPr="001D6692">
        <w:rPr>
          <w:rFonts w:asciiTheme="minorHAnsi" w:hAnsiTheme="minorHAnsi"/>
          <w:sz w:val="22"/>
          <w:szCs w:val="22"/>
        </w:rPr>
        <w:t>Sektor pomorske plovidbe, pravnih, međunarodnih poslova i EU</w:t>
      </w:r>
    </w:p>
    <w:p w:rsidR="004C6907" w:rsidRPr="001D6692" w:rsidRDefault="004C6907" w:rsidP="004C6907">
      <w:pPr>
        <w:rPr>
          <w:rFonts w:asciiTheme="minorHAnsi" w:hAnsiTheme="minorHAnsi"/>
          <w:sz w:val="22"/>
          <w:szCs w:val="22"/>
        </w:rPr>
      </w:pPr>
      <w:r w:rsidRPr="001D6692">
        <w:rPr>
          <w:rFonts w:asciiTheme="minorHAnsi" w:hAnsiTheme="minorHAnsi"/>
          <w:sz w:val="22"/>
          <w:szCs w:val="22"/>
        </w:rPr>
        <w:t>Služba za pravne, međunarodne poslove, razvojne projekte i EU</w:t>
      </w:r>
    </w:p>
    <w:p w:rsidR="004C6907" w:rsidRPr="001D6692" w:rsidRDefault="004C6907" w:rsidP="004C6907">
      <w:pPr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1D6692">
        <w:rPr>
          <w:rFonts w:asciiTheme="minorHAnsi" w:eastAsia="Calibri" w:hAnsiTheme="minorHAnsi"/>
          <w:bCs/>
          <w:sz w:val="22"/>
          <w:szCs w:val="22"/>
          <w:lang w:eastAsia="en-US"/>
        </w:rPr>
        <w:t>Odjel za međunarodne poslove, EU poslove i EU fondove</w:t>
      </w:r>
    </w:p>
    <w:p w:rsidR="004C6907" w:rsidRPr="001D6692" w:rsidRDefault="004C6907" w:rsidP="004C6907">
      <w:pPr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:rsidR="004C6907" w:rsidRPr="001D6692" w:rsidRDefault="004C6907" w:rsidP="004C6907">
      <w:pPr>
        <w:ind w:left="720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:rsidR="004C6907" w:rsidRPr="001D6692" w:rsidRDefault="004C6907" w:rsidP="004C6907">
      <w:pPr>
        <w:numPr>
          <w:ilvl w:val="0"/>
          <w:numId w:val="21"/>
        </w:numPr>
        <w:ind w:left="720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1D6692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viši stručni referent  </w:t>
      </w:r>
      <w:r w:rsidRPr="001D6692">
        <w:rPr>
          <w:rFonts w:asciiTheme="minorHAnsi" w:eastAsia="Calibri" w:hAnsiTheme="minorHAnsi"/>
          <w:b/>
          <w:sz w:val="22"/>
          <w:szCs w:val="22"/>
        </w:rPr>
        <w:t xml:space="preserve">(mjesto rada Zagreb) </w:t>
      </w:r>
      <w:r w:rsidRPr="001D6692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– 1 izvršitelj</w:t>
      </w:r>
      <w:r w:rsidRPr="001D6692">
        <w:rPr>
          <w:rFonts w:asciiTheme="minorHAnsi" w:eastAsia="Calibri" w:hAnsiTheme="minorHAnsi"/>
          <w:b/>
          <w:sz w:val="22"/>
          <w:szCs w:val="22"/>
        </w:rPr>
        <w:t>/</w:t>
      </w:r>
      <w:proofErr w:type="spellStart"/>
      <w:r w:rsidRPr="001D6692">
        <w:rPr>
          <w:rFonts w:asciiTheme="minorHAnsi" w:eastAsia="Calibri" w:hAnsiTheme="minorHAnsi"/>
          <w:b/>
          <w:sz w:val="22"/>
          <w:szCs w:val="22"/>
        </w:rPr>
        <w:t>ica</w:t>
      </w:r>
      <w:proofErr w:type="spellEnd"/>
    </w:p>
    <w:p w:rsidR="004C6907" w:rsidRPr="001D6692" w:rsidRDefault="004C6907" w:rsidP="004C6907">
      <w:pPr>
        <w:spacing w:line="240" w:lineRule="atLeast"/>
        <w:rPr>
          <w:rFonts w:asciiTheme="minorHAnsi" w:hAnsiTheme="minorHAnsi"/>
          <w:b/>
          <w:color w:val="0070C0"/>
          <w:sz w:val="22"/>
          <w:szCs w:val="22"/>
          <w:u w:val="single"/>
        </w:rPr>
      </w:pPr>
    </w:p>
    <w:p w:rsidR="004C6907" w:rsidRPr="001D6692" w:rsidRDefault="004C6907" w:rsidP="004C6907">
      <w:pPr>
        <w:spacing w:line="240" w:lineRule="atLeast"/>
        <w:ind w:firstLine="360"/>
        <w:rPr>
          <w:rFonts w:asciiTheme="minorHAnsi" w:hAnsiTheme="minorHAnsi"/>
          <w:color w:val="0070C0"/>
          <w:sz w:val="22"/>
          <w:szCs w:val="22"/>
          <w:u w:val="single"/>
        </w:rPr>
      </w:pPr>
      <w:r w:rsidRPr="001D6692">
        <w:rPr>
          <w:rFonts w:asciiTheme="minorHAnsi" w:hAnsiTheme="minorHAnsi"/>
          <w:color w:val="0070C0"/>
          <w:sz w:val="22"/>
          <w:szCs w:val="22"/>
          <w:u w:val="single"/>
        </w:rPr>
        <w:t>Literatura:</w:t>
      </w:r>
    </w:p>
    <w:p w:rsidR="004C6907" w:rsidRPr="001D6692" w:rsidRDefault="004C6907" w:rsidP="004C6907">
      <w:pPr>
        <w:pStyle w:val="ListParagraph"/>
        <w:numPr>
          <w:ilvl w:val="0"/>
          <w:numId w:val="32"/>
        </w:numPr>
        <w:rPr>
          <w:rFonts w:asciiTheme="minorHAnsi" w:hAnsiTheme="minorHAnsi"/>
          <w:iCs/>
          <w:color w:val="0070C0"/>
        </w:rPr>
      </w:pPr>
      <w:r w:rsidRPr="001D6692">
        <w:rPr>
          <w:rFonts w:asciiTheme="minorHAnsi" w:hAnsiTheme="minorHAnsi"/>
          <w:iCs/>
          <w:color w:val="0070C0"/>
        </w:rPr>
        <w:t>Pomorski zakonik (N</w:t>
      </w:r>
      <w:r w:rsidRPr="001D6692">
        <w:rPr>
          <w:rFonts w:asciiTheme="minorHAnsi" w:hAnsiTheme="minorHAnsi"/>
          <w:iCs/>
          <w:color w:val="0070C0"/>
        </w:rPr>
        <w:t xml:space="preserve">arodne novine, </w:t>
      </w:r>
      <w:r w:rsidRPr="001D6692">
        <w:rPr>
          <w:rFonts w:asciiTheme="minorHAnsi" w:hAnsiTheme="minorHAnsi"/>
          <w:iCs/>
          <w:color w:val="0070C0"/>
        </w:rPr>
        <w:t>b</w:t>
      </w:r>
      <w:r w:rsidRPr="001D6692">
        <w:rPr>
          <w:rFonts w:asciiTheme="minorHAnsi" w:hAnsiTheme="minorHAnsi"/>
          <w:iCs/>
          <w:color w:val="0070C0"/>
        </w:rPr>
        <w:t>oj</w:t>
      </w:r>
      <w:r w:rsidRPr="001D6692">
        <w:rPr>
          <w:rFonts w:asciiTheme="minorHAnsi" w:hAnsiTheme="minorHAnsi"/>
          <w:iCs/>
          <w:color w:val="0070C0"/>
        </w:rPr>
        <w:t xml:space="preserve"> 181/04., 76/07., 146/08., 61/11., 56/13 i 26/15)</w:t>
      </w:r>
    </w:p>
    <w:p w:rsidR="004C6907" w:rsidRPr="001D6692" w:rsidRDefault="004C6907" w:rsidP="004C6907">
      <w:pPr>
        <w:pStyle w:val="ListParagraph"/>
        <w:numPr>
          <w:ilvl w:val="0"/>
          <w:numId w:val="32"/>
        </w:numPr>
        <w:rPr>
          <w:rFonts w:asciiTheme="minorHAnsi" w:hAnsiTheme="minorHAnsi"/>
          <w:iCs/>
          <w:color w:val="0070C0"/>
        </w:rPr>
      </w:pPr>
      <w:r w:rsidRPr="001D6692">
        <w:rPr>
          <w:rFonts w:asciiTheme="minorHAnsi" w:hAnsiTheme="minorHAnsi"/>
          <w:iCs/>
          <w:color w:val="0070C0"/>
        </w:rPr>
        <w:t>Uredba o uredskom poslovanju (Narodne novine, b</w:t>
      </w:r>
      <w:r w:rsidR="001D6692" w:rsidRPr="001D6692">
        <w:rPr>
          <w:rFonts w:asciiTheme="minorHAnsi" w:hAnsiTheme="minorHAnsi"/>
          <w:iCs/>
          <w:color w:val="0070C0"/>
        </w:rPr>
        <w:t>r</w:t>
      </w:r>
      <w:r w:rsidRPr="001D6692">
        <w:rPr>
          <w:rFonts w:asciiTheme="minorHAnsi" w:hAnsiTheme="minorHAnsi"/>
          <w:iCs/>
          <w:color w:val="0070C0"/>
        </w:rPr>
        <w:t>oj 7/09)</w:t>
      </w: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color w:val="0070C0"/>
          <w:sz w:val="22"/>
          <w:szCs w:val="22"/>
        </w:rPr>
      </w:pP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1D6692">
        <w:rPr>
          <w:rFonts w:asciiTheme="minorHAnsi" w:hAnsiTheme="minorHAnsi"/>
          <w:b/>
          <w:bCs/>
          <w:sz w:val="22"/>
          <w:szCs w:val="22"/>
        </w:rPr>
        <w:t>II. UPRAVA SIGURNOSTI PLOVIDBE</w:t>
      </w: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D6692">
        <w:rPr>
          <w:rFonts w:asciiTheme="minorHAnsi" w:hAnsiTheme="minorHAnsi"/>
          <w:b/>
          <w:bCs/>
          <w:sz w:val="22"/>
          <w:szCs w:val="22"/>
        </w:rPr>
        <w:t>LUČKA KAPETANIJA ŠIBENIK</w:t>
      </w: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D6692">
        <w:rPr>
          <w:rFonts w:asciiTheme="minorHAnsi" w:hAnsiTheme="minorHAnsi"/>
          <w:sz w:val="22"/>
          <w:szCs w:val="22"/>
        </w:rPr>
        <w:t xml:space="preserve">Odjel za inspekcijske poslove </w:t>
      </w: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pStyle w:val="ListParagraph"/>
        <w:numPr>
          <w:ilvl w:val="0"/>
          <w:numId w:val="29"/>
        </w:numPr>
        <w:rPr>
          <w:rFonts w:asciiTheme="minorHAnsi" w:eastAsia="Calibri" w:hAnsiTheme="minorHAnsi"/>
          <w:b/>
        </w:rPr>
      </w:pPr>
      <w:r w:rsidRPr="001D6692">
        <w:rPr>
          <w:rFonts w:asciiTheme="minorHAnsi" w:hAnsiTheme="minorHAnsi"/>
          <w:b/>
        </w:rPr>
        <w:t xml:space="preserve">kontrolor obilježavanja plovnih putova u pomorskoj i unutarnjoj plovidbi (inspektor) </w:t>
      </w:r>
      <w:r w:rsidRPr="001D6692">
        <w:rPr>
          <w:rFonts w:asciiTheme="minorHAnsi" w:eastAsia="Calibri" w:hAnsiTheme="minorHAnsi"/>
          <w:b/>
        </w:rPr>
        <w:t>– mjesto rada Šibenik - 1 izvršitelj/</w:t>
      </w:r>
      <w:proofErr w:type="spellStart"/>
      <w:r w:rsidRPr="001D6692">
        <w:rPr>
          <w:rFonts w:asciiTheme="minorHAnsi" w:eastAsia="Calibri" w:hAnsiTheme="minorHAnsi"/>
          <w:b/>
        </w:rPr>
        <w:t>ica</w:t>
      </w:r>
      <w:proofErr w:type="spellEnd"/>
    </w:p>
    <w:p w:rsidR="001D6692" w:rsidRDefault="001D6692" w:rsidP="001D6692">
      <w:pPr>
        <w:pStyle w:val="ListParagraph"/>
        <w:rPr>
          <w:rFonts w:asciiTheme="minorHAnsi" w:eastAsia="Calibri" w:hAnsiTheme="minorHAnsi"/>
        </w:rPr>
      </w:pPr>
    </w:p>
    <w:p w:rsidR="001D6692" w:rsidRPr="001D6692" w:rsidRDefault="001D6692" w:rsidP="001D6692">
      <w:pPr>
        <w:pStyle w:val="ListParagraph"/>
        <w:rPr>
          <w:rFonts w:asciiTheme="minorHAnsi" w:eastAsia="Calibri" w:hAnsiTheme="minorHAnsi"/>
        </w:rPr>
      </w:pPr>
    </w:p>
    <w:p w:rsidR="004C6907" w:rsidRPr="001D6692" w:rsidRDefault="004C6907" w:rsidP="004C6907">
      <w:pPr>
        <w:spacing w:line="240" w:lineRule="atLeast"/>
        <w:ind w:left="360"/>
        <w:rPr>
          <w:rFonts w:asciiTheme="minorHAnsi" w:hAnsiTheme="minorHAnsi"/>
          <w:color w:val="0070C0"/>
          <w:sz w:val="22"/>
          <w:szCs w:val="22"/>
          <w:u w:val="single"/>
        </w:rPr>
      </w:pPr>
      <w:r w:rsidRPr="001D6692">
        <w:rPr>
          <w:rFonts w:asciiTheme="minorHAnsi" w:hAnsiTheme="minorHAnsi"/>
          <w:color w:val="0070C0"/>
          <w:sz w:val="22"/>
          <w:szCs w:val="22"/>
          <w:u w:val="single"/>
        </w:rPr>
        <w:lastRenderedPageBreak/>
        <w:t>Literatura:</w:t>
      </w:r>
    </w:p>
    <w:p w:rsidR="004C6907" w:rsidRPr="001D6692" w:rsidRDefault="004C6907" w:rsidP="004C6907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color w:val="0070C0"/>
        </w:rPr>
      </w:pPr>
      <w:r w:rsidRPr="001D6692">
        <w:rPr>
          <w:rFonts w:asciiTheme="minorHAnsi" w:hAnsiTheme="minorHAnsi"/>
          <w:color w:val="0070C0"/>
        </w:rPr>
        <w:t xml:space="preserve">Pomorski zakonik (Narodne novine, broj 181/04, 76/07, 146/08, 61/11, 56/13, 26/15 ) - Dio Prvi, Dio Drugi, Dio Treći </w:t>
      </w:r>
    </w:p>
    <w:p w:rsidR="004C6907" w:rsidRPr="001D6692" w:rsidRDefault="004C6907" w:rsidP="004C6907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color w:val="0070C0"/>
        </w:rPr>
      </w:pPr>
      <w:r w:rsidRPr="001D6692">
        <w:rPr>
          <w:rFonts w:asciiTheme="minorHAnsi" w:hAnsiTheme="minorHAnsi"/>
          <w:color w:val="0070C0"/>
        </w:rPr>
        <w:t>Pravilnik o uvjetima i načinu održavanja reda u lukama i na ostalim dijelovima unutarnjih morskih voda i teritorijalnog mora Republike Hrvatske (</w:t>
      </w:r>
      <w:r w:rsidR="001D6692" w:rsidRPr="001D6692">
        <w:rPr>
          <w:rFonts w:asciiTheme="minorHAnsi" w:hAnsiTheme="minorHAnsi"/>
          <w:iCs/>
          <w:color w:val="0070C0"/>
        </w:rPr>
        <w:t>Narodne novine, b</w:t>
      </w:r>
      <w:r w:rsidR="001D6692" w:rsidRPr="001D6692">
        <w:rPr>
          <w:rFonts w:asciiTheme="minorHAnsi" w:hAnsiTheme="minorHAnsi"/>
          <w:iCs/>
          <w:color w:val="0070C0"/>
        </w:rPr>
        <w:t>r</w:t>
      </w:r>
      <w:r w:rsidR="001D6692" w:rsidRPr="001D6692">
        <w:rPr>
          <w:rFonts w:asciiTheme="minorHAnsi" w:hAnsiTheme="minorHAnsi"/>
          <w:iCs/>
          <w:color w:val="0070C0"/>
        </w:rPr>
        <w:t>oj</w:t>
      </w:r>
      <w:r w:rsidRPr="001D6692">
        <w:rPr>
          <w:rFonts w:asciiTheme="minorHAnsi" w:hAnsiTheme="minorHAnsi"/>
          <w:color w:val="0070C0"/>
        </w:rPr>
        <w:t xml:space="preserve"> 90/05, 10/08, 155/08, 127/10, 80/12) </w:t>
      </w:r>
    </w:p>
    <w:p w:rsidR="004C6907" w:rsidRPr="001D6692" w:rsidRDefault="004C6907" w:rsidP="004C690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70C0"/>
        </w:rPr>
      </w:pPr>
      <w:r w:rsidRPr="001D6692">
        <w:rPr>
          <w:rFonts w:asciiTheme="minorHAnsi" w:eastAsiaTheme="minorHAnsi" w:hAnsiTheme="minorHAnsi"/>
          <w:color w:val="0070C0"/>
        </w:rPr>
        <w:t xml:space="preserve">Pravilnik o obavljanju inspekcijskog nadzora sigurnosti plovidbe (Narodne novine, broj </w:t>
      </w:r>
      <w:r w:rsidRPr="001D6692">
        <w:rPr>
          <w:rFonts w:asciiTheme="minorHAnsi" w:hAnsiTheme="minorHAnsi"/>
          <w:bCs/>
          <w:color w:val="0070C0"/>
        </w:rPr>
        <w:t>39/11, 112/14, 33/15, 86/15, 29/16</w:t>
      </w:r>
      <w:r w:rsidRPr="001D6692">
        <w:rPr>
          <w:rFonts w:asciiTheme="minorHAnsi" w:eastAsiaTheme="minorHAnsi" w:hAnsiTheme="minorHAnsi"/>
          <w:color w:val="0070C0"/>
        </w:rPr>
        <w:t xml:space="preserve">) </w:t>
      </w:r>
    </w:p>
    <w:p w:rsidR="004C6907" w:rsidRPr="001D6692" w:rsidRDefault="004C6907" w:rsidP="004C690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70C0"/>
        </w:rPr>
      </w:pPr>
      <w:r w:rsidRPr="001D6692">
        <w:rPr>
          <w:rFonts w:asciiTheme="minorHAnsi" w:eastAsiaTheme="minorHAnsi" w:hAnsiTheme="minorHAnsi"/>
          <w:color w:val="0070C0"/>
        </w:rPr>
        <w:t xml:space="preserve">Zakon o pomorskom dobru i morskim lukama (Narodne novine, broj 158/03, 141/06, 38/09.) </w:t>
      </w:r>
    </w:p>
    <w:p w:rsidR="004C6907" w:rsidRPr="001D6692" w:rsidRDefault="004C6907" w:rsidP="004C6907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color w:val="0070C0"/>
        </w:rPr>
      </w:pPr>
      <w:r w:rsidRPr="001D6692">
        <w:rPr>
          <w:rFonts w:asciiTheme="minorHAnsi" w:hAnsiTheme="minorHAnsi"/>
          <w:color w:val="0070C0"/>
        </w:rPr>
        <w:t>Zakon o sigurnosnoj zaštiti pomorskih brodova i luka (Narodne novine broj 124/09, 59/12)</w:t>
      </w: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1D6692">
        <w:rPr>
          <w:rFonts w:asciiTheme="minorHAnsi" w:hAnsiTheme="minorHAnsi"/>
          <w:b/>
          <w:sz w:val="22"/>
          <w:szCs w:val="22"/>
        </w:rPr>
        <w:t>Ispostava Primošten</w:t>
      </w:r>
    </w:p>
    <w:p w:rsidR="004C6907" w:rsidRPr="001D6692" w:rsidRDefault="004C6907" w:rsidP="004C690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Theme="minorHAnsi" w:eastAsia="Calibri" w:hAnsiTheme="minorHAnsi"/>
          <w:b/>
        </w:rPr>
      </w:pPr>
      <w:r w:rsidRPr="001D6692">
        <w:rPr>
          <w:rFonts w:asciiTheme="minorHAnsi" w:hAnsiTheme="minorHAnsi"/>
          <w:b/>
        </w:rPr>
        <w:t xml:space="preserve"> kapetan Ispostave III. vrste </w:t>
      </w:r>
      <w:r w:rsidRPr="001D6692">
        <w:rPr>
          <w:rFonts w:asciiTheme="minorHAnsi" w:eastAsia="Calibri" w:hAnsiTheme="minorHAnsi"/>
          <w:b/>
        </w:rPr>
        <w:t>(mjesto rada Primošten) – 1 izvršitelj/</w:t>
      </w:r>
      <w:proofErr w:type="spellStart"/>
      <w:r w:rsidRPr="001D6692">
        <w:rPr>
          <w:rFonts w:asciiTheme="minorHAnsi" w:eastAsia="Calibri" w:hAnsiTheme="minorHAnsi"/>
          <w:b/>
        </w:rPr>
        <w:t>ica</w:t>
      </w:r>
      <w:proofErr w:type="spellEnd"/>
    </w:p>
    <w:p w:rsidR="004C6907" w:rsidRPr="001D6692" w:rsidRDefault="004C6907" w:rsidP="004C690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C6907" w:rsidRPr="001D6692" w:rsidRDefault="004C6907" w:rsidP="004C6907">
      <w:pPr>
        <w:spacing w:line="240" w:lineRule="atLeast"/>
        <w:ind w:firstLine="360"/>
        <w:rPr>
          <w:rFonts w:asciiTheme="minorHAnsi" w:hAnsiTheme="minorHAnsi"/>
          <w:color w:val="0070C0"/>
          <w:sz w:val="22"/>
          <w:szCs w:val="22"/>
          <w:u w:val="single"/>
        </w:rPr>
      </w:pPr>
      <w:r w:rsidRPr="001D6692">
        <w:rPr>
          <w:rFonts w:asciiTheme="minorHAnsi" w:hAnsiTheme="minorHAnsi"/>
          <w:color w:val="0070C0"/>
          <w:sz w:val="22"/>
          <w:szCs w:val="22"/>
          <w:u w:val="single"/>
        </w:rPr>
        <w:t>Literatura:</w:t>
      </w:r>
    </w:p>
    <w:p w:rsidR="004C6907" w:rsidRPr="001D6692" w:rsidRDefault="004C6907" w:rsidP="004C690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70C0"/>
        </w:rPr>
      </w:pPr>
      <w:r w:rsidRPr="001D6692">
        <w:rPr>
          <w:rFonts w:asciiTheme="minorHAnsi" w:eastAsiaTheme="minorHAnsi" w:hAnsiTheme="minorHAnsi"/>
          <w:color w:val="0070C0"/>
        </w:rPr>
        <w:t xml:space="preserve">Pomorski zakonik (Narodne novine, broj 181/04, 76/07, 146/08 i 61/11, 56/13, 26/15)- Dio Prvi, Dio Drugi, Dio Treći </w:t>
      </w:r>
    </w:p>
    <w:p w:rsidR="004C6907" w:rsidRPr="001D6692" w:rsidRDefault="004C6907" w:rsidP="004C690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70C0"/>
        </w:rPr>
      </w:pPr>
      <w:r w:rsidRPr="001D6692">
        <w:rPr>
          <w:rFonts w:asciiTheme="minorHAnsi" w:eastAsiaTheme="minorHAnsi" w:hAnsiTheme="minorHAnsi"/>
          <w:color w:val="0070C0"/>
        </w:rPr>
        <w:t xml:space="preserve">Zakon o lučkim kapetanijama (Narodne novine, broj 124/97) </w:t>
      </w:r>
    </w:p>
    <w:p w:rsidR="004C6907" w:rsidRPr="001D6692" w:rsidRDefault="004C6907" w:rsidP="004C690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70C0"/>
        </w:rPr>
      </w:pPr>
      <w:r w:rsidRPr="001D6692">
        <w:rPr>
          <w:rFonts w:asciiTheme="minorHAnsi" w:eastAsiaTheme="minorHAnsi" w:hAnsiTheme="minorHAnsi"/>
          <w:color w:val="0070C0"/>
        </w:rPr>
        <w:t xml:space="preserve">Zakon o pomorskom dobru i morskim lukama (Narodne novine, broj 158/03, 141/06, 38/09) </w:t>
      </w:r>
    </w:p>
    <w:p w:rsidR="004C6907" w:rsidRPr="001D6692" w:rsidRDefault="004C6907" w:rsidP="004C690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70C0"/>
        </w:rPr>
      </w:pPr>
      <w:r w:rsidRPr="001D6692">
        <w:rPr>
          <w:rFonts w:asciiTheme="minorHAnsi" w:eastAsiaTheme="minorHAnsi" w:hAnsiTheme="minorHAnsi"/>
          <w:color w:val="0070C0"/>
        </w:rPr>
        <w:t xml:space="preserve">Pravilnik o obavljanju inspekcijskog nadzora sigurnosti plovidbe (Narodne novine, broj </w:t>
      </w:r>
      <w:r w:rsidRPr="001D6692">
        <w:rPr>
          <w:rFonts w:asciiTheme="minorHAnsi" w:hAnsiTheme="minorHAnsi"/>
          <w:bCs/>
          <w:color w:val="0070C0"/>
        </w:rPr>
        <w:t>39/11, 112/14, 33/15, 86/15, 29/16</w:t>
      </w:r>
      <w:r w:rsidRPr="001D6692">
        <w:rPr>
          <w:rFonts w:asciiTheme="minorHAnsi" w:eastAsiaTheme="minorHAnsi" w:hAnsiTheme="minorHAnsi"/>
          <w:color w:val="0070C0"/>
        </w:rPr>
        <w:t xml:space="preserve">) </w:t>
      </w:r>
    </w:p>
    <w:p w:rsidR="004C6907" w:rsidRPr="001D6692" w:rsidRDefault="004C6907" w:rsidP="004C690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70C0"/>
        </w:rPr>
      </w:pPr>
      <w:r w:rsidRPr="001D6692">
        <w:rPr>
          <w:rFonts w:asciiTheme="minorHAnsi" w:eastAsiaTheme="minorHAnsi" w:hAnsiTheme="minorHAnsi"/>
          <w:color w:val="0070C0"/>
        </w:rPr>
        <w:t xml:space="preserve">Pravilnik o uvjetima i načinu održavanja reda u lukama i na ostalim dijelovima unutarnjih morskih voda i teritorijalnog mora Republike Hrvatske (Narodne novine, broj 90/05, 10/08, 155/08, 127/10 i 80/12) </w:t>
      </w:r>
    </w:p>
    <w:p w:rsidR="004C6907" w:rsidRPr="001D6692" w:rsidRDefault="004C6907" w:rsidP="004C690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70C0"/>
        </w:rPr>
      </w:pPr>
      <w:r w:rsidRPr="001D6692">
        <w:rPr>
          <w:rFonts w:asciiTheme="minorHAnsi" w:eastAsiaTheme="minorHAnsi" w:hAnsiTheme="minorHAnsi"/>
          <w:color w:val="0070C0"/>
        </w:rPr>
        <w:t xml:space="preserve">Pravilnik o brodicama i jahtama (Narodne novine, broj 27/05, 57/06, 80/07, 3/08, 18/09, 56/10, 97/12, 137/13, 18/16) </w:t>
      </w:r>
    </w:p>
    <w:p w:rsidR="004C6907" w:rsidRPr="001D6692" w:rsidRDefault="004C6907" w:rsidP="004C6907">
      <w:pPr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jc w:val="both"/>
        <w:rPr>
          <w:rFonts w:asciiTheme="minorHAnsi" w:hAnsiTheme="minorHAnsi"/>
          <w:b/>
          <w:sz w:val="22"/>
          <w:szCs w:val="22"/>
        </w:rPr>
      </w:pPr>
      <w:r w:rsidRPr="001D6692">
        <w:rPr>
          <w:rFonts w:asciiTheme="minorHAnsi" w:hAnsiTheme="minorHAnsi"/>
          <w:b/>
          <w:sz w:val="22"/>
          <w:szCs w:val="22"/>
        </w:rPr>
        <w:t>III. UPRAVA CESTOVNOG I ŽELJEZNIČKOG PROMETA I INFRASTRUKTURE</w:t>
      </w:r>
    </w:p>
    <w:p w:rsidR="004C6907" w:rsidRPr="001D6692" w:rsidRDefault="004C6907" w:rsidP="004C6907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  <w:r w:rsidRPr="001D6692">
        <w:rPr>
          <w:rFonts w:asciiTheme="minorHAnsi" w:hAnsiTheme="minorHAnsi"/>
          <w:sz w:val="22"/>
          <w:szCs w:val="22"/>
        </w:rPr>
        <w:t>Sektor za cestovnu i željezničku infrastrukturu</w:t>
      </w: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  <w:r w:rsidRPr="001D6692">
        <w:rPr>
          <w:rFonts w:asciiTheme="minorHAnsi" w:hAnsiTheme="minorHAnsi"/>
          <w:sz w:val="22"/>
          <w:szCs w:val="22"/>
        </w:rPr>
        <w:t>Služba za razvoj i unaprjeđenje infrastrukture</w:t>
      </w: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  <w:r w:rsidRPr="001D6692">
        <w:rPr>
          <w:rFonts w:asciiTheme="minorHAnsi" w:hAnsiTheme="minorHAnsi"/>
          <w:sz w:val="22"/>
          <w:szCs w:val="22"/>
        </w:rPr>
        <w:t>Odjel za željezničku infrastrukturu</w:t>
      </w: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1D6692">
        <w:rPr>
          <w:rFonts w:asciiTheme="minorHAnsi" w:hAnsiTheme="minorHAnsi"/>
          <w:b/>
          <w:sz w:val="22"/>
          <w:szCs w:val="22"/>
        </w:rPr>
        <w:t xml:space="preserve"> viši stručni savjetnik </w:t>
      </w:r>
      <w:r w:rsidRPr="001D6692">
        <w:rPr>
          <w:rFonts w:asciiTheme="minorHAnsi" w:eastAsia="Calibri" w:hAnsiTheme="minorHAnsi"/>
          <w:b/>
          <w:sz w:val="22"/>
          <w:szCs w:val="22"/>
        </w:rPr>
        <w:t xml:space="preserve">(mjesto rada Zagreb) </w:t>
      </w:r>
      <w:r w:rsidRPr="001D6692">
        <w:rPr>
          <w:rFonts w:asciiTheme="minorHAnsi" w:hAnsiTheme="minorHAnsi"/>
          <w:b/>
          <w:sz w:val="22"/>
          <w:szCs w:val="22"/>
        </w:rPr>
        <w:t>– 1 izvršitelj</w:t>
      </w:r>
      <w:r w:rsidRPr="001D6692">
        <w:rPr>
          <w:rFonts w:asciiTheme="minorHAnsi" w:eastAsia="Calibri" w:hAnsiTheme="minorHAnsi"/>
          <w:b/>
          <w:sz w:val="22"/>
          <w:szCs w:val="22"/>
        </w:rPr>
        <w:t>/</w:t>
      </w:r>
      <w:proofErr w:type="spellStart"/>
      <w:r w:rsidRPr="001D6692">
        <w:rPr>
          <w:rFonts w:asciiTheme="minorHAnsi" w:eastAsia="Calibri" w:hAnsiTheme="minorHAnsi"/>
          <w:b/>
          <w:sz w:val="22"/>
          <w:szCs w:val="22"/>
        </w:rPr>
        <w:t>ica</w:t>
      </w:r>
      <w:proofErr w:type="spellEnd"/>
    </w:p>
    <w:p w:rsidR="004C6907" w:rsidRPr="001D6692" w:rsidRDefault="004C6907" w:rsidP="004C6907">
      <w:pPr>
        <w:jc w:val="both"/>
        <w:rPr>
          <w:rFonts w:asciiTheme="minorHAnsi" w:hAnsiTheme="minorHAnsi"/>
          <w:b/>
          <w:sz w:val="22"/>
          <w:szCs w:val="22"/>
        </w:rPr>
      </w:pPr>
    </w:p>
    <w:p w:rsidR="004C6907" w:rsidRPr="001D6692" w:rsidRDefault="004C6907" w:rsidP="004C6907">
      <w:pPr>
        <w:spacing w:line="240" w:lineRule="atLeast"/>
        <w:ind w:firstLine="360"/>
        <w:rPr>
          <w:rFonts w:asciiTheme="minorHAnsi" w:hAnsiTheme="minorHAnsi"/>
          <w:color w:val="0070C0"/>
          <w:sz w:val="22"/>
          <w:szCs w:val="22"/>
          <w:u w:val="single"/>
        </w:rPr>
      </w:pPr>
      <w:r w:rsidRPr="001D6692">
        <w:rPr>
          <w:rFonts w:asciiTheme="minorHAnsi" w:hAnsiTheme="minorHAnsi"/>
          <w:color w:val="0070C0"/>
          <w:sz w:val="22"/>
          <w:szCs w:val="22"/>
          <w:u w:val="single"/>
        </w:rPr>
        <w:t>Literatura:</w:t>
      </w:r>
    </w:p>
    <w:p w:rsidR="004C6907" w:rsidRPr="001D6692" w:rsidRDefault="004C6907" w:rsidP="004C6907">
      <w:pPr>
        <w:pStyle w:val="ListParagraph"/>
        <w:numPr>
          <w:ilvl w:val="0"/>
          <w:numId w:val="39"/>
        </w:numPr>
        <w:rPr>
          <w:rFonts w:asciiTheme="minorHAnsi" w:hAnsiTheme="minorHAnsi"/>
          <w:color w:val="0070C0"/>
          <w:lang w:val="en-US"/>
        </w:rPr>
      </w:pPr>
      <w:proofErr w:type="spellStart"/>
      <w:r w:rsidRPr="001D6692">
        <w:rPr>
          <w:rFonts w:asciiTheme="minorHAnsi" w:hAnsiTheme="minorHAnsi"/>
          <w:color w:val="0070C0"/>
          <w:lang w:val="en-US"/>
        </w:rPr>
        <w:t>Zakon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o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željeznici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(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Narodne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novine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,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br</w:t>
      </w:r>
      <w:r w:rsidR="001D6692" w:rsidRPr="001D6692">
        <w:rPr>
          <w:rFonts w:asciiTheme="minorHAnsi" w:hAnsiTheme="minorHAnsi"/>
          <w:color w:val="0070C0"/>
          <w:lang w:val="en-US"/>
        </w:rPr>
        <w:t>oj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94/13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i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148/13)</w:t>
      </w:r>
    </w:p>
    <w:p w:rsidR="004C6907" w:rsidRPr="001D6692" w:rsidRDefault="004C6907" w:rsidP="004C6907">
      <w:pPr>
        <w:pStyle w:val="ListParagraph"/>
        <w:numPr>
          <w:ilvl w:val="0"/>
          <w:numId w:val="39"/>
        </w:numPr>
        <w:rPr>
          <w:rFonts w:asciiTheme="minorHAnsi" w:hAnsiTheme="minorHAnsi"/>
          <w:color w:val="0070C0"/>
          <w:lang w:val="en-US"/>
        </w:rPr>
      </w:pPr>
      <w:proofErr w:type="spellStart"/>
      <w:r w:rsidRPr="001D6692">
        <w:rPr>
          <w:rFonts w:asciiTheme="minorHAnsi" w:hAnsiTheme="minorHAnsi"/>
          <w:color w:val="0070C0"/>
          <w:lang w:val="en-US"/>
        </w:rPr>
        <w:t>Zakon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o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sigurnosti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i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interoperabilnosti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željezničkog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sustava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(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Narodne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novine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,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br</w:t>
      </w:r>
      <w:r w:rsidR="001D6692" w:rsidRPr="001D6692">
        <w:rPr>
          <w:rFonts w:asciiTheme="minorHAnsi" w:hAnsiTheme="minorHAnsi"/>
          <w:color w:val="0070C0"/>
          <w:lang w:val="en-US"/>
        </w:rPr>
        <w:t>oj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82/13, 18/15 </w:t>
      </w:r>
      <w:proofErr w:type="spellStart"/>
      <w:r w:rsidRPr="001D6692">
        <w:rPr>
          <w:rFonts w:asciiTheme="minorHAnsi" w:hAnsiTheme="minorHAnsi"/>
          <w:color w:val="0070C0"/>
          <w:lang w:val="en-US"/>
        </w:rPr>
        <w:t>i</w:t>
      </w:r>
      <w:proofErr w:type="spellEnd"/>
      <w:r w:rsidRPr="001D6692">
        <w:rPr>
          <w:rFonts w:asciiTheme="minorHAnsi" w:hAnsiTheme="minorHAnsi"/>
          <w:color w:val="0070C0"/>
          <w:lang w:val="en-US"/>
        </w:rPr>
        <w:t xml:space="preserve"> 110/15).</w:t>
      </w:r>
    </w:p>
    <w:p w:rsidR="004C6907" w:rsidRPr="001D6692" w:rsidRDefault="004C6907" w:rsidP="004C6907">
      <w:pPr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4C6907" w:rsidRDefault="004C6907" w:rsidP="004C6907">
      <w:pPr>
        <w:jc w:val="both"/>
        <w:rPr>
          <w:rFonts w:asciiTheme="minorHAnsi" w:hAnsiTheme="minorHAnsi"/>
          <w:sz w:val="22"/>
          <w:szCs w:val="22"/>
        </w:rPr>
      </w:pPr>
    </w:p>
    <w:p w:rsidR="001D6692" w:rsidRDefault="001D6692" w:rsidP="004C6907">
      <w:pPr>
        <w:jc w:val="both"/>
        <w:rPr>
          <w:rFonts w:asciiTheme="minorHAnsi" w:hAnsiTheme="minorHAnsi"/>
          <w:sz w:val="22"/>
          <w:szCs w:val="22"/>
        </w:rPr>
      </w:pPr>
    </w:p>
    <w:p w:rsidR="001D6692" w:rsidRDefault="001D6692" w:rsidP="004C6907">
      <w:pPr>
        <w:jc w:val="both"/>
        <w:rPr>
          <w:rFonts w:asciiTheme="minorHAnsi" w:hAnsiTheme="minorHAnsi"/>
          <w:sz w:val="22"/>
          <w:szCs w:val="22"/>
        </w:rPr>
      </w:pPr>
    </w:p>
    <w:p w:rsidR="001D6692" w:rsidRDefault="001D6692" w:rsidP="004C6907">
      <w:pPr>
        <w:jc w:val="both"/>
        <w:rPr>
          <w:rFonts w:asciiTheme="minorHAnsi" w:hAnsiTheme="minorHAnsi"/>
          <w:sz w:val="22"/>
          <w:szCs w:val="22"/>
        </w:rPr>
      </w:pPr>
    </w:p>
    <w:p w:rsidR="001D6692" w:rsidRPr="001D6692" w:rsidRDefault="001D6692" w:rsidP="004C6907">
      <w:pPr>
        <w:jc w:val="both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jc w:val="both"/>
        <w:rPr>
          <w:rFonts w:asciiTheme="minorHAnsi" w:hAnsiTheme="minorHAnsi"/>
          <w:b/>
          <w:sz w:val="22"/>
          <w:szCs w:val="22"/>
        </w:rPr>
      </w:pPr>
      <w:r w:rsidRPr="001D6692">
        <w:rPr>
          <w:rFonts w:asciiTheme="minorHAnsi" w:hAnsiTheme="minorHAnsi"/>
          <w:b/>
          <w:sz w:val="22"/>
          <w:szCs w:val="22"/>
        </w:rPr>
        <w:lastRenderedPageBreak/>
        <w:t xml:space="preserve">IV.  UPRAVA ZRAČNOG PROMETA, ELEKTRONIČKIH KOMUNIKACIJA </w:t>
      </w:r>
    </w:p>
    <w:p w:rsidR="004C6907" w:rsidRPr="001D6692" w:rsidRDefault="004C6907" w:rsidP="004C6907">
      <w:pPr>
        <w:jc w:val="both"/>
        <w:rPr>
          <w:rFonts w:asciiTheme="minorHAnsi" w:hAnsiTheme="minorHAnsi"/>
          <w:b/>
          <w:sz w:val="22"/>
          <w:szCs w:val="22"/>
        </w:rPr>
      </w:pPr>
      <w:r w:rsidRPr="001D6692">
        <w:rPr>
          <w:rFonts w:asciiTheme="minorHAnsi" w:hAnsiTheme="minorHAnsi"/>
          <w:b/>
          <w:sz w:val="22"/>
          <w:szCs w:val="22"/>
        </w:rPr>
        <w:t xml:space="preserve">       I POŠTE</w:t>
      </w:r>
    </w:p>
    <w:p w:rsidR="004C6907" w:rsidRPr="001D6692" w:rsidRDefault="004C6907" w:rsidP="004C6907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  <w:r w:rsidRPr="001D6692">
        <w:rPr>
          <w:rFonts w:asciiTheme="minorHAnsi" w:hAnsiTheme="minorHAnsi"/>
          <w:sz w:val="22"/>
          <w:szCs w:val="22"/>
        </w:rPr>
        <w:t>Sektor elektroničkih komunikacija i pošte</w:t>
      </w: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  <w:r w:rsidRPr="001D6692">
        <w:rPr>
          <w:rFonts w:asciiTheme="minorHAnsi" w:hAnsiTheme="minorHAnsi"/>
          <w:sz w:val="22"/>
          <w:szCs w:val="22"/>
        </w:rPr>
        <w:t>Služba elektroničkih komunikacija</w:t>
      </w: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  <w:r w:rsidRPr="001D6692">
        <w:rPr>
          <w:rFonts w:asciiTheme="minorHAnsi" w:hAnsiTheme="minorHAnsi"/>
          <w:sz w:val="22"/>
          <w:szCs w:val="22"/>
        </w:rPr>
        <w:t>Odjel za tehnologiju elektroničkih komunikacija</w:t>
      </w:r>
    </w:p>
    <w:p w:rsidR="004C6907" w:rsidRPr="001D6692" w:rsidRDefault="004C6907" w:rsidP="004C6907">
      <w:pPr>
        <w:jc w:val="both"/>
        <w:rPr>
          <w:rFonts w:asciiTheme="minorHAnsi" w:hAnsiTheme="minorHAnsi"/>
          <w:sz w:val="22"/>
          <w:szCs w:val="22"/>
        </w:rPr>
      </w:pPr>
    </w:p>
    <w:p w:rsidR="004C6907" w:rsidRPr="001D6692" w:rsidRDefault="004C6907" w:rsidP="004C690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/>
        </w:rPr>
      </w:pPr>
      <w:r w:rsidRPr="001D6692">
        <w:rPr>
          <w:rFonts w:asciiTheme="minorHAnsi" w:hAnsiTheme="minorHAnsi"/>
          <w:b/>
        </w:rPr>
        <w:t xml:space="preserve">stručni savjetnik </w:t>
      </w:r>
      <w:r w:rsidRPr="001D6692">
        <w:rPr>
          <w:rFonts w:asciiTheme="minorHAnsi" w:eastAsia="Calibri" w:hAnsiTheme="minorHAnsi"/>
          <w:b/>
        </w:rPr>
        <w:t xml:space="preserve">(mjesto rada Zagreb) </w:t>
      </w:r>
      <w:r w:rsidRPr="001D6692">
        <w:rPr>
          <w:rFonts w:asciiTheme="minorHAnsi" w:hAnsiTheme="minorHAnsi"/>
          <w:b/>
        </w:rPr>
        <w:t>– 1 izvršitelj</w:t>
      </w:r>
      <w:r w:rsidRPr="001D6692">
        <w:rPr>
          <w:rFonts w:asciiTheme="minorHAnsi" w:eastAsia="Calibri" w:hAnsiTheme="minorHAnsi"/>
          <w:b/>
        </w:rPr>
        <w:t>/</w:t>
      </w:r>
      <w:proofErr w:type="spellStart"/>
      <w:r w:rsidRPr="001D6692">
        <w:rPr>
          <w:rFonts w:asciiTheme="minorHAnsi" w:eastAsia="Calibri" w:hAnsiTheme="minorHAnsi"/>
          <w:b/>
        </w:rPr>
        <w:t>ica</w:t>
      </w:r>
      <w:proofErr w:type="spellEnd"/>
    </w:p>
    <w:p w:rsidR="004C6907" w:rsidRPr="001D6692" w:rsidRDefault="004C6907" w:rsidP="004C690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C6907" w:rsidRPr="001D6692" w:rsidRDefault="004C6907" w:rsidP="004C6907">
      <w:pPr>
        <w:spacing w:line="240" w:lineRule="atLeast"/>
        <w:ind w:firstLine="360"/>
        <w:rPr>
          <w:rFonts w:asciiTheme="minorHAnsi" w:hAnsiTheme="minorHAnsi"/>
          <w:color w:val="0070C0"/>
          <w:sz w:val="22"/>
          <w:szCs w:val="22"/>
          <w:u w:val="single"/>
        </w:rPr>
      </w:pPr>
      <w:r w:rsidRPr="001D6692">
        <w:rPr>
          <w:rFonts w:asciiTheme="minorHAnsi" w:hAnsiTheme="minorHAnsi"/>
          <w:color w:val="0070C0"/>
          <w:sz w:val="22"/>
          <w:szCs w:val="22"/>
          <w:u w:val="single"/>
        </w:rPr>
        <w:t>Literatura:</w:t>
      </w:r>
    </w:p>
    <w:p w:rsidR="004C6907" w:rsidRPr="001D6692" w:rsidRDefault="004C6907" w:rsidP="004C6907">
      <w:pPr>
        <w:pStyle w:val="ListParagraph"/>
        <w:numPr>
          <w:ilvl w:val="0"/>
          <w:numId w:val="40"/>
        </w:numPr>
        <w:spacing w:line="270" w:lineRule="atLeast"/>
        <w:rPr>
          <w:rFonts w:asciiTheme="minorHAnsi" w:hAnsiTheme="minorHAnsi"/>
          <w:color w:val="0070C0"/>
        </w:rPr>
      </w:pPr>
      <w:r w:rsidRPr="001D6692">
        <w:rPr>
          <w:rStyle w:val="Strong"/>
          <w:rFonts w:asciiTheme="minorHAnsi" w:hAnsiTheme="minorHAnsi"/>
          <w:b w:val="0"/>
          <w:color w:val="0070C0"/>
        </w:rPr>
        <w:t>Zakon o elektroničkim komunikacijama (</w:t>
      </w:r>
      <w:hyperlink r:id="rId6" w:tgtFrame="_blank" w:history="1">
        <w:r w:rsidR="001D6692" w:rsidRPr="001D6692">
          <w:rPr>
            <w:rFonts w:asciiTheme="minorHAnsi" w:hAnsiTheme="minorHAnsi"/>
            <w:iCs/>
            <w:color w:val="0070C0"/>
          </w:rPr>
          <w:t>Narodne novine, boj</w:t>
        </w:r>
        <w:r w:rsidRPr="001D6692">
          <w:rPr>
            <w:rStyle w:val="Hyperlink"/>
            <w:rFonts w:asciiTheme="minorHAnsi" w:hAnsiTheme="minorHAnsi"/>
            <w:color w:val="0070C0"/>
          </w:rPr>
          <w:t xml:space="preserve"> 73/08</w:t>
        </w:r>
      </w:hyperlink>
      <w:r w:rsidRPr="001D6692">
        <w:rPr>
          <w:rFonts w:asciiTheme="minorHAnsi" w:hAnsiTheme="minorHAnsi"/>
          <w:color w:val="0070C0"/>
        </w:rPr>
        <w:t>, </w:t>
      </w:r>
      <w:hyperlink r:id="rId7" w:tgtFrame="_blank" w:history="1">
        <w:r w:rsidRPr="001D6692">
          <w:rPr>
            <w:rStyle w:val="Hyperlink"/>
            <w:rFonts w:asciiTheme="minorHAnsi" w:hAnsiTheme="minorHAnsi"/>
            <w:color w:val="0070C0"/>
          </w:rPr>
          <w:t>90/11</w:t>
        </w:r>
      </w:hyperlink>
      <w:r w:rsidRPr="001D6692">
        <w:rPr>
          <w:rFonts w:asciiTheme="minorHAnsi" w:hAnsiTheme="minorHAnsi"/>
          <w:color w:val="0070C0"/>
        </w:rPr>
        <w:t xml:space="preserve">, </w:t>
      </w:r>
      <w:hyperlink r:id="rId8" w:tgtFrame="_blank" w:history="1">
        <w:r w:rsidRPr="001D6692">
          <w:rPr>
            <w:rStyle w:val="Hyperlink"/>
            <w:rFonts w:asciiTheme="minorHAnsi" w:hAnsiTheme="minorHAnsi"/>
            <w:color w:val="0070C0"/>
          </w:rPr>
          <w:t>133/12</w:t>
        </w:r>
      </w:hyperlink>
      <w:r w:rsidRPr="001D6692">
        <w:rPr>
          <w:rFonts w:asciiTheme="minorHAnsi" w:hAnsiTheme="minorHAnsi"/>
          <w:color w:val="0070C0"/>
        </w:rPr>
        <w:t xml:space="preserve">, </w:t>
      </w:r>
      <w:hyperlink r:id="rId9" w:tgtFrame="_blank" w:history="1">
        <w:r w:rsidRPr="001D6692">
          <w:rPr>
            <w:rStyle w:val="Hyperlink"/>
            <w:rFonts w:asciiTheme="minorHAnsi" w:hAnsiTheme="minorHAnsi"/>
            <w:color w:val="0070C0"/>
          </w:rPr>
          <w:t>80/13</w:t>
        </w:r>
      </w:hyperlink>
      <w:r w:rsidRPr="001D6692">
        <w:rPr>
          <w:rFonts w:asciiTheme="minorHAnsi" w:hAnsiTheme="minorHAnsi"/>
          <w:color w:val="0070C0"/>
        </w:rPr>
        <w:t xml:space="preserve"> i </w:t>
      </w:r>
      <w:hyperlink r:id="rId10" w:tgtFrame="_blank" w:history="1">
        <w:r w:rsidRPr="001D6692">
          <w:rPr>
            <w:rStyle w:val="Hyperlink"/>
            <w:rFonts w:asciiTheme="minorHAnsi" w:hAnsiTheme="minorHAnsi"/>
            <w:color w:val="0070C0"/>
          </w:rPr>
          <w:t>71/14</w:t>
        </w:r>
      </w:hyperlink>
      <w:r w:rsidRPr="001D6692">
        <w:rPr>
          <w:rFonts w:asciiTheme="minorHAnsi" w:hAnsiTheme="minorHAnsi"/>
          <w:color w:val="0070C0"/>
        </w:rPr>
        <w:t>)</w:t>
      </w:r>
    </w:p>
    <w:p w:rsidR="004C6907" w:rsidRPr="001D6692" w:rsidRDefault="004C6907" w:rsidP="004C6907">
      <w:pPr>
        <w:pStyle w:val="ListParagraph"/>
        <w:numPr>
          <w:ilvl w:val="0"/>
          <w:numId w:val="40"/>
        </w:numPr>
        <w:spacing w:line="270" w:lineRule="atLeast"/>
        <w:rPr>
          <w:rFonts w:asciiTheme="minorHAnsi" w:hAnsiTheme="minorHAnsi"/>
          <w:color w:val="0070C0"/>
        </w:rPr>
      </w:pPr>
      <w:r w:rsidRPr="001D6692">
        <w:rPr>
          <w:rStyle w:val="Strong"/>
          <w:rFonts w:asciiTheme="minorHAnsi" w:hAnsiTheme="minorHAnsi"/>
          <w:b w:val="0"/>
          <w:color w:val="0070C0"/>
        </w:rPr>
        <w:t>Zakon o mjerama za smanjenje troškova postavljanja elektroničkih komunikacijskih mreža velikih brzina (</w:t>
      </w:r>
      <w:hyperlink r:id="rId11" w:history="1">
        <w:r w:rsidR="001D6692" w:rsidRPr="001D6692">
          <w:rPr>
            <w:rFonts w:asciiTheme="minorHAnsi" w:hAnsiTheme="minorHAnsi"/>
            <w:iCs/>
            <w:color w:val="0070C0"/>
          </w:rPr>
          <w:t>Narodne novine, boj</w:t>
        </w:r>
        <w:r w:rsidRPr="001D6692">
          <w:rPr>
            <w:rStyle w:val="Hyperlink"/>
            <w:rFonts w:asciiTheme="minorHAnsi" w:hAnsiTheme="minorHAnsi"/>
            <w:color w:val="0070C0"/>
          </w:rPr>
          <w:t xml:space="preserve"> 121/16</w:t>
        </w:r>
      </w:hyperlink>
      <w:r w:rsidRPr="001D6692">
        <w:rPr>
          <w:rFonts w:asciiTheme="minorHAnsi" w:hAnsiTheme="minorHAnsi"/>
          <w:color w:val="0070C0"/>
        </w:rPr>
        <w:t>)</w:t>
      </w:r>
    </w:p>
    <w:p w:rsidR="004C6907" w:rsidRPr="001D6692" w:rsidRDefault="004C6907" w:rsidP="004C6907">
      <w:pPr>
        <w:spacing w:line="240" w:lineRule="atLeast"/>
        <w:ind w:left="708"/>
        <w:rPr>
          <w:rFonts w:asciiTheme="minorHAnsi" w:hAnsiTheme="minorHAnsi"/>
          <w:b/>
          <w:color w:val="FF0000"/>
          <w:sz w:val="22"/>
          <w:szCs w:val="22"/>
        </w:rPr>
      </w:pPr>
    </w:p>
    <w:p w:rsidR="004C6907" w:rsidRPr="001D6692" w:rsidRDefault="004C6907" w:rsidP="004C6907">
      <w:pPr>
        <w:spacing w:line="240" w:lineRule="atLeast"/>
        <w:ind w:left="708"/>
        <w:rPr>
          <w:rFonts w:asciiTheme="minorHAnsi" w:hAnsiTheme="minorHAnsi"/>
          <w:b/>
          <w:color w:val="FF0000"/>
          <w:sz w:val="22"/>
          <w:szCs w:val="22"/>
        </w:rPr>
      </w:pPr>
    </w:p>
    <w:p w:rsidR="004C6907" w:rsidRPr="001D6692" w:rsidRDefault="004C6907" w:rsidP="004C6907">
      <w:pPr>
        <w:spacing w:line="240" w:lineRule="atLeast"/>
        <w:ind w:left="708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1D6692">
        <w:rPr>
          <w:rFonts w:asciiTheme="minorHAnsi" w:hAnsiTheme="minorHAnsi"/>
          <w:b/>
          <w:color w:val="FF0000"/>
          <w:sz w:val="22"/>
          <w:szCs w:val="22"/>
        </w:rPr>
        <w:t>3.</w:t>
      </w:r>
      <w:r w:rsidRPr="001D6692">
        <w:rPr>
          <w:rFonts w:asciiTheme="minorHAnsi" w:hAnsiTheme="minorHAnsi"/>
          <w:color w:val="FF0000"/>
          <w:sz w:val="22"/>
          <w:szCs w:val="22"/>
          <w:u w:val="single"/>
        </w:rPr>
        <w:t xml:space="preserve"> </w:t>
      </w:r>
      <w:r w:rsidRPr="001D6692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Provjera </w:t>
      </w:r>
      <w:r w:rsidR="00871BAB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engleskog </w:t>
      </w:r>
      <w:r w:rsidRPr="001D6692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jezika – pismena provjera</w:t>
      </w:r>
      <w:r w:rsidRPr="001D6692">
        <w:rPr>
          <w:rFonts w:asciiTheme="minorHAnsi" w:hAnsiTheme="minorHAnsi" w:cs="Arial"/>
          <w:color w:val="FF0000"/>
          <w:sz w:val="22"/>
          <w:szCs w:val="22"/>
          <w:u w:val="single"/>
        </w:rPr>
        <w:t xml:space="preserve">  (provjera razine navedene u stručni</w:t>
      </w:r>
      <w:r w:rsidR="00871BAB">
        <w:rPr>
          <w:rFonts w:asciiTheme="minorHAnsi" w:hAnsiTheme="minorHAnsi" w:cs="Arial"/>
          <w:color w:val="FF0000"/>
          <w:sz w:val="22"/>
          <w:szCs w:val="22"/>
          <w:u w:val="single"/>
        </w:rPr>
        <w:t>m uvjetima )</w:t>
      </w:r>
    </w:p>
    <w:p w:rsidR="004C6907" w:rsidRPr="001D6692" w:rsidRDefault="004C6907" w:rsidP="004C6907">
      <w:pPr>
        <w:spacing w:line="240" w:lineRule="exact"/>
        <w:ind w:firstLine="708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</w:pPr>
    </w:p>
    <w:p w:rsidR="00871BAB" w:rsidRDefault="00871BAB" w:rsidP="004C6907">
      <w:pPr>
        <w:spacing w:line="240" w:lineRule="exact"/>
        <w:ind w:firstLine="708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</w:pPr>
    </w:p>
    <w:p w:rsidR="004C6907" w:rsidRDefault="00871BAB" w:rsidP="004C6907">
      <w:pPr>
        <w:spacing w:line="240" w:lineRule="exact"/>
        <w:ind w:firstLine="708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  <w:t>Pasivno razumijevanje</w:t>
      </w:r>
      <w:r w:rsidR="00BB0D50"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  <w:t xml:space="preserve"> engleskog jezika</w:t>
      </w:r>
      <w:r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  <w:t>: za radna mjesta pod rednim brojem 1., 3. i 4.</w:t>
      </w:r>
    </w:p>
    <w:p w:rsidR="00871BAB" w:rsidRDefault="00871BAB" w:rsidP="004C6907">
      <w:pPr>
        <w:spacing w:line="240" w:lineRule="exact"/>
        <w:ind w:firstLine="708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</w:pPr>
    </w:p>
    <w:p w:rsidR="00871BAB" w:rsidRDefault="00871BAB" w:rsidP="004C6907">
      <w:pPr>
        <w:spacing w:line="240" w:lineRule="exact"/>
        <w:ind w:firstLine="708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  <w:t xml:space="preserve">Aktivno korištenje engleskog jezika u govoru i pismu: za radna mjesta pod rednim </w:t>
      </w:r>
    </w:p>
    <w:p w:rsidR="00871BAB" w:rsidRPr="001D6692" w:rsidRDefault="00871BAB" w:rsidP="004C6907">
      <w:pPr>
        <w:spacing w:line="240" w:lineRule="exact"/>
        <w:ind w:firstLine="708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  <w:t>brojem 5. i 6.</w:t>
      </w:r>
    </w:p>
    <w:p w:rsidR="004C6907" w:rsidRDefault="004C6907" w:rsidP="004C6907">
      <w:pPr>
        <w:spacing w:line="240" w:lineRule="exact"/>
        <w:ind w:firstLine="708"/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</w:p>
    <w:p w:rsidR="00871BAB" w:rsidRPr="001D6692" w:rsidRDefault="00871BAB" w:rsidP="004C6907">
      <w:pPr>
        <w:spacing w:line="240" w:lineRule="exact"/>
        <w:ind w:firstLine="708"/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</w:p>
    <w:p w:rsidR="004C6907" w:rsidRPr="001D6692" w:rsidRDefault="004C6907" w:rsidP="004C6907">
      <w:pPr>
        <w:spacing w:line="240" w:lineRule="exact"/>
        <w:ind w:firstLine="708"/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  <w:r w:rsidRPr="001D6692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4. Provjera poznavanja rada na osobnom računalu – za sva radna mjesta</w:t>
      </w:r>
    </w:p>
    <w:p w:rsidR="004C6907" w:rsidRPr="001D6692" w:rsidRDefault="004C6907" w:rsidP="004C6907">
      <w:pPr>
        <w:spacing w:line="240" w:lineRule="exact"/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</w:p>
    <w:p w:rsidR="004C6907" w:rsidRPr="001D6692" w:rsidRDefault="004C6907" w:rsidP="002F2CC0">
      <w:pPr>
        <w:ind w:firstLine="708"/>
        <w:rPr>
          <w:rFonts w:asciiTheme="minorHAnsi" w:hAnsiTheme="minorHAnsi"/>
          <w:i/>
          <w:sz w:val="22"/>
          <w:szCs w:val="22"/>
        </w:rPr>
      </w:pPr>
      <w:r w:rsidRPr="001D6692">
        <w:rPr>
          <w:rFonts w:asciiTheme="minorHAnsi" w:hAnsiTheme="minorHAnsi"/>
          <w:i/>
          <w:sz w:val="22"/>
          <w:szCs w:val="22"/>
        </w:rPr>
        <w:t xml:space="preserve">Ispit će se sastojati od </w:t>
      </w:r>
      <w:r w:rsidR="002F2CC0">
        <w:rPr>
          <w:rFonts w:asciiTheme="minorHAnsi" w:hAnsiTheme="minorHAnsi"/>
          <w:i/>
          <w:sz w:val="22"/>
          <w:szCs w:val="22"/>
        </w:rPr>
        <w:t xml:space="preserve">pismene provjere poznavanja rada </w:t>
      </w:r>
      <w:r w:rsidRPr="001D6692">
        <w:rPr>
          <w:rFonts w:asciiTheme="minorHAnsi" w:hAnsiTheme="minorHAnsi"/>
          <w:i/>
          <w:sz w:val="22"/>
          <w:szCs w:val="22"/>
        </w:rPr>
        <w:t xml:space="preserve"> za sljedeća područja:</w:t>
      </w:r>
    </w:p>
    <w:p w:rsidR="004C6907" w:rsidRPr="001D6692" w:rsidRDefault="004C6907" w:rsidP="004C6907">
      <w:pPr>
        <w:rPr>
          <w:rFonts w:asciiTheme="minorHAnsi" w:hAnsiTheme="minorHAnsi"/>
          <w:i/>
          <w:sz w:val="22"/>
          <w:szCs w:val="22"/>
        </w:rPr>
      </w:pPr>
    </w:p>
    <w:p w:rsidR="001D6692" w:rsidRPr="00871BAB" w:rsidRDefault="001D6692" w:rsidP="001D6692">
      <w:pPr>
        <w:pStyle w:val="ListParagraph"/>
        <w:rPr>
          <w:rFonts w:asciiTheme="minorHAnsi" w:hAnsiTheme="minorHAnsi"/>
          <w:b/>
          <w:bCs/>
        </w:rPr>
      </w:pPr>
    </w:p>
    <w:p w:rsidR="001D6692" w:rsidRPr="00871BAB" w:rsidRDefault="001D6692" w:rsidP="002F2CC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871BAB">
        <w:rPr>
          <w:rFonts w:asciiTheme="minorHAnsi" w:hAnsiTheme="minorHAnsi"/>
        </w:rPr>
        <w:t>Osnove rada sa računalima (operativni sustav MS Windows 7, web preglednik, e-mail klijent)</w:t>
      </w:r>
    </w:p>
    <w:p w:rsidR="001D6692" w:rsidRPr="00871BAB" w:rsidRDefault="001D6692" w:rsidP="002F2CC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871BAB">
        <w:rPr>
          <w:rFonts w:asciiTheme="minorHAnsi" w:hAnsiTheme="minorHAnsi"/>
        </w:rPr>
        <w:t>Obrada teksta (MS Word)</w:t>
      </w:r>
    </w:p>
    <w:p w:rsidR="001D6692" w:rsidRPr="00871BAB" w:rsidRDefault="001D6692" w:rsidP="001D6692">
      <w:pPr>
        <w:pStyle w:val="ListParagraph"/>
        <w:rPr>
          <w:rFonts w:asciiTheme="minorHAnsi" w:hAnsiTheme="minorHAnsi"/>
          <w:color w:val="1F497D"/>
        </w:rPr>
      </w:pPr>
    </w:p>
    <w:p w:rsidR="001D6692" w:rsidRPr="00871BAB" w:rsidRDefault="001D6692" w:rsidP="001D6692">
      <w:pPr>
        <w:pStyle w:val="ListParagraph"/>
        <w:rPr>
          <w:rFonts w:asciiTheme="minorHAnsi" w:hAnsiTheme="minorHAnsi"/>
          <w:color w:val="1F497D"/>
        </w:rPr>
      </w:pPr>
      <w:r w:rsidRPr="00871BAB">
        <w:rPr>
          <w:rFonts w:asciiTheme="minorHAnsi" w:hAnsiTheme="minorHAnsi"/>
          <w:color w:val="1F497D"/>
        </w:rPr>
        <w:t>Literatura: Linkovi</w:t>
      </w:r>
    </w:p>
    <w:p w:rsidR="001D6692" w:rsidRPr="00871BAB" w:rsidRDefault="001D6692" w:rsidP="001D6692">
      <w:pPr>
        <w:pStyle w:val="ListParagraph"/>
        <w:rPr>
          <w:rFonts w:asciiTheme="minorHAnsi" w:hAnsiTheme="minorHAnsi"/>
          <w:color w:val="1F497D"/>
        </w:rPr>
      </w:pPr>
      <w:hyperlink r:id="rId12" w:history="1">
        <w:r w:rsidRPr="00871BAB">
          <w:rPr>
            <w:rStyle w:val="Hyperlink"/>
            <w:rFonts w:asciiTheme="minorHAnsi" w:hAnsiTheme="minorHAnsi"/>
            <w:lang w:eastAsia="hr-HR"/>
          </w:rPr>
          <w:t>http://itdesk.info/hr/e-edukacija/modul-2-koristenje-racunala-i-upravljanje-datotekama/koristenje-racunala-microsoft-windows-7-upravljanje-datotekama-prirucnik/</w:t>
        </w:r>
      </w:hyperlink>
    </w:p>
    <w:p w:rsidR="001D6692" w:rsidRPr="00871BAB" w:rsidRDefault="001D6692" w:rsidP="001D6692">
      <w:pPr>
        <w:ind w:left="708" w:firstLine="12"/>
        <w:rPr>
          <w:rFonts w:asciiTheme="minorHAnsi" w:hAnsiTheme="minorHAnsi"/>
          <w:color w:val="1F497D"/>
          <w:sz w:val="22"/>
          <w:szCs w:val="22"/>
        </w:rPr>
      </w:pPr>
      <w:hyperlink r:id="rId13" w:history="1">
        <w:r w:rsidRPr="00871BAB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1D6692" w:rsidRPr="00871BAB" w:rsidRDefault="001D6692" w:rsidP="001D6692">
      <w:pPr>
        <w:ind w:firstLine="708"/>
        <w:rPr>
          <w:rFonts w:asciiTheme="minorHAnsi" w:hAnsiTheme="minorHAnsi"/>
          <w:color w:val="1F497D"/>
          <w:sz w:val="22"/>
          <w:szCs w:val="22"/>
        </w:rPr>
      </w:pPr>
    </w:p>
    <w:p w:rsidR="001D6692" w:rsidRPr="00871BAB" w:rsidRDefault="001D6692" w:rsidP="001D6692">
      <w:pPr>
        <w:ind w:left="708"/>
        <w:rPr>
          <w:rFonts w:asciiTheme="minorHAnsi" w:hAnsiTheme="minorHAnsi"/>
          <w:color w:val="1F497D"/>
          <w:sz w:val="22"/>
          <w:szCs w:val="22"/>
        </w:rPr>
      </w:pPr>
      <w:hyperlink r:id="rId14" w:history="1">
        <w:r w:rsidRPr="00871BAB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1D6692" w:rsidRPr="00871BAB" w:rsidRDefault="001D6692" w:rsidP="001D6692">
      <w:pPr>
        <w:rPr>
          <w:rFonts w:asciiTheme="minorHAnsi" w:hAnsiTheme="minorHAnsi"/>
          <w:color w:val="1F497D"/>
          <w:sz w:val="22"/>
          <w:szCs w:val="22"/>
        </w:rPr>
      </w:pPr>
    </w:p>
    <w:p w:rsidR="004C6907" w:rsidRPr="00871BAB" w:rsidRDefault="004C6907" w:rsidP="004C6907">
      <w:pPr>
        <w:rPr>
          <w:rFonts w:asciiTheme="minorHAnsi" w:hAnsiTheme="minorHAnsi"/>
          <w:sz w:val="22"/>
          <w:szCs w:val="22"/>
        </w:rPr>
      </w:pPr>
    </w:p>
    <w:p w:rsidR="004C6907" w:rsidRPr="00871BAB" w:rsidRDefault="004C6907" w:rsidP="004C6907">
      <w:pPr>
        <w:rPr>
          <w:rFonts w:asciiTheme="minorHAnsi" w:hAnsiTheme="minorHAnsi"/>
          <w:sz w:val="22"/>
          <w:szCs w:val="22"/>
        </w:rPr>
      </w:pPr>
    </w:p>
    <w:p w:rsidR="004C6907" w:rsidRDefault="004C6907" w:rsidP="004C6907">
      <w:pPr>
        <w:rPr>
          <w:rFonts w:asciiTheme="minorHAnsi" w:hAnsiTheme="minorHAnsi"/>
          <w:sz w:val="22"/>
          <w:szCs w:val="22"/>
        </w:rPr>
      </w:pPr>
    </w:p>
    <w:p w:rsidR="004C6907" w:rsidRDefault="004C6907" w:rsidP="004C6907"/>
    <w:p w:rsidR="007E6D38" w:rsidRDefault="007E6D38"/>
    <w:sectPr w:rsidR="007E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41"/>
    <w:multiLevelType w:val="hybridMultilevel"/>
    <w:tmpl w:val="C116DC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4FC"/>
    <w:multiLevelType w:val="hybridMultilevel"/>
    <w:tmpl w:val="B36CD2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46065"/>
    <w:multiLevelType w:val="hybridMultilevel"/>
    <w:tmpl w:val="83C6E61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6737A"/>
    <w:multiLevelType w:val="hybridMultilevel"/>
    <w:tmpl w:val="6BA88B20"/>
    <w:lvl w:ilvl="0" w:tplc="ED5A4DD4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FC0"/>
    <w:multiLevelType w:val="hybridMultilevel"/>
    <w:tmpl w:val="B414E7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73278"/>
    <w:multiLevelType w:val="hybridMultilevel"/>
    <w:tmpl w:val="A58C57F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7694F11"/>
    <w:multiLevelType w:val="hybridMultilevel"/>
    <w:tmpl w:val="098CB87C"/>
    <w:lvl w:ilvl="0" w:tplc="ADD443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D7A05F2"/>
    <w:multiLevelType w:val="hybridMultilevel"/>
    <w:tmpl w:val="7FC05312"/>
    <w:lvl w:ilvl="0" w:tplc="23C49B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403F"/>
    <w:multiLevelType w:val="hybridMultilevel"/>
    <w:tmpl w:val="370C37FC"/>
    <w:lvl w:ilvl="0" w:tplc="87E24A1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139E"/>
    <w:multiLevelType w:val="hybridMultilevel"/>
    <w:tmpl w:val="99A4C8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90CD1"/>
    <w:multiLevelType w:val="hybridMultilevel"/>
    <w:tmpl w:val="D5C8EAD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3A5AD5"/>
    <w:multiLevelType w:val="hybridMultilevel"/>
    <w:tmpl w:val="DBEA1BD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04B96"/>
    <w:multiLevelType w:val="hybridMultilevel"/>
    <w:tmpl w:val="7CDEBB6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D278C"/>
    <w:multiLevelType w:val="hybridMultilevel"/>
    <w:tmpl w:val="A7B419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06E9B"/>
    <w:multiLevelType w:val="hybridMultilevel"/>
    <w:tmpl w:val="144864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95F"/>
    <w:multiLevelType w:val="hybridMultilevel"/>
    <w:tmpl w:val="7FAEAA18"/>
    <w:lvl w:ilvl="0" w:tplc="041A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D0683"/>
    <w:multiLevelType w:val="hybridMultilevel"/>
    <w:tmpl w:val="D93EC206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D822ED"/>
    <w:multiLevelType w:val="hybridMultilevel"/>
    <w:tmpl w:val="4A0650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9105B"/>
    <w:multiLevelType w:val="hybridMultilevel"/>
    <w:tmpl w:val="49546C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979A0"/>
    <w:multiLevelType w:val="multilevel"/>
    <w:tmpl w:val="A7FCE84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450E68B8"/>
    <w:multiLevelType w:val="hybridMultilevel"/>
    <w:tmpl w:val="595A4F4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B6915"/>
    <w:multiLevelType w:val="hybridMultilevel"/>
    <w:tmpl w:val="772EBEB0"/>
    <w:lvl w:ilvl="0" w:tplc="D6DC3AE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905B9"/>
    <w:multiLevelType w:val="hybridMultilevel"/>
    <w:tmpl w:val="764E20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112E1"/>
    <w:multiLevelType w:val="hybridMultilevel"/>
    <w:tmpl w:val="11706B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95BDF"/>
    <w:multiLevelType w:val="hybridMultilevel"/>
    <w:tmpl w:val="74207C8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ED30FA"/>
    <w:multiLevelType w:val="hybridMultilevel"/>
    <w:tmpl w:val="60FABB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4616A"/>
    <w:multiLevelType w:val="hybridMultilevel"/>
    <w:tmpl w:val="F42CF2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63DDF"/>
    <w:multiLevelType w:val="hybridMultilevel"/>
    <w:tmpl w:val="A4A020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D0EE5"/>
    <w:multiLevelType w:val="hybridMultilevel"/>
    <w:tmpl w:val="206ADD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276C6"/>
    <w:multiLevelType w:val="hybridMultilevel"/>
    <w:tmpl w:val="0E20514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4F26FCD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1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BE87C01"/>
    <w:multiLevelType w:val="hybridMultilevel"/>
    <w:tmpl w:val="C45481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F62DE"/>
    <w:multiLevelType w:val="hybridMultilevel"/>
    <w:tmpl w:val="5AB8D5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E2D48"/>
    <w:multiLevelType w:val="hybridMultilevel"/>
    <w:tmpl w:val="D570BA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33C1C"/>
    <w:multiLevelType w:val="hybridMultilevel"/>
    <w:tmpl w:val="6A2EDDE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7212A3"/>
    <w:multiLevelType w:val="hybridMultilevel"/>
    <w:tmpl w:val="40F6AE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E3D09"/>
    <w:multiLevelType w:val="hybridMultilevel"/>
    <w:tmpl w:val="6816AF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"/>
  </w:num>
  <w:num w:numId="26">
    <w:abstractNumId w:val="5"/>
  </w:num>
  <w:num w:numId="27">
    <w:abstractNumId w:val="30"/>
  </w:num>
  <w:num w:numId="28">
    <w:abstractNumId w:val="25"/>
  </w:num>
  <w:num w:numId="29">
    <w:abstractNumId w:val="16"/>
  </w:num>
  <w:num w:numId="30">
    <w:abstractNumId w:val="0"/>
  </w:num>
  <w:num w:numId="31">
    <w:abstractNumId w:val="3"/>
  </w:num>
  <w:num w:numId="32">
    <w:abstractNumId w:val="28"/>
  </w:num>
  <w:num w:numId="33">
    <w:abstractNumId w:val="22"/>
  </w:num>
  <w:num w:numId="34">
    <w:abstractNumId w:val="34"/>
  </w:num>
  <w:num w:numId="35">
    <w:abstractNumId w:val="21"/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17"/>
  </w:num>
  <w:num w:numId="39">
    <w:abstractNumId w:val="24"/>
  </w:num>
  <w:num w:numId="40">
    <w:abstractNumId w:val="2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07"/>
    <w:rsid w:val="001D6692"/>
    <w:rsid w:val="002F2CC0"/>
    <w:rsid w:val="004C6907"/>
    <w:rsid w:val="007E6D38"/>
    <w:rsid w:val="00871BAB"/>
    <w:rsid w:val="00B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C6907"/>
    <w:rPr>
      <w:color w:val="0000FF"/>
      <w:u w:val="singl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C6907"/>
    <w:pPr>
      <w:tabs>
        <w:tab w:val="right" w:leader="dot" w:pos="9060"/>
      </w:tabs>
    </w:pPr>
    <w:rPr>
      <w:rFonts w:eastAsia="Calibri"/>
      <w:noProof/>
      <w:lang w:eastAsia="en-US"/>
    </w:rPr>
  </w:style>
  <w:style w:type="paragraph" w:styleId="ListParagraph">
    <w:name w:val="List Paragraph"/>
    <w:basedOn w:val="Normal"/>
    <w:uiPriority w:val="99"/>
    <w:qFormat/>
    <w:rsid w:val="004C69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C690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C6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C6907"/>
    <w:rPr>
      <w:color w:val="0000FF"/>
      <w:u w:val="singl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C6907"/>
    <w:pPr>
      <w:tabs>
        <w:tab w:val="right" w:leader="dot" w:pos="9060"/>
      </w:tabs>
    </w:pPr>
    <w:rPr>
      <w:rFonts w:eastAsia="Calibri"/>
      <w:noProof/>
      <w:lang w:eastAsia="en-US"/>
    </w:rPr>
  </w:style>
  <w:style w:type="paragraph" w:styleId="ListParagraph">
    <w:name w:val="List Paragraph"/>
    <w:basedOn w:val="Normal"/>
    <w:uiPriority w:val="99"/>
    <w:qFormat/>
    <w:rsid w:val="004C69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C690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C6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2_12_133_2824.html" TargetMode="External"/><Relationship Id="rId13" Type="http://schemas.openxmlformats.org/officeDocument/2006/relationships/hyperlink" Target="http://itdesk.info/hr/e-edukacija/modul-3-obrada-teksta/obrada-teksta-microsoft-word-2010-priruc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rodne-novine.nn.hr/clanci/sluzbeni/2011_08_90_1929.html" TargetMode="External"/><Relationship Id="rId12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ppi.hr/UserDocsImages/nn-73-08-Zakon%20o%20elektroni&#269;kim%20komunikacijama.mht" TargetMode="External"/><Relationship Id="rId11" Type="http://schemas.openxmlformats.org/officeDocument/2006/relationships/hyperlink" Target="http://narodne-novine.nn.hr/clanci/sluzbeni/full/2016_12_121_262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2014_06_71_13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3_06_80_1676.html" TargetMode="External"/><Relationship Id="rId14" Type="http://schemas.openxmlformats.org/officeDocument/2006/relationships/hyperlink" Target="http://itdesk.info/hr/e-edukacija/modul-7-informacije-i-komunikacije/modul-7-informacije-i-komunikacije-priruc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2017-07-13T08:29:00Z</dcterms:created>
  <dcterms:modified xsi:type="dcterms:W3CDTF">2017-07-13T09:08:00Z</dcterms:modified>
</cp:coreProperties>
</file>